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1.17. Информация об условиях, на которых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 (работ, услуг)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об условиях договоров об осуществлении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технологического присоединения к электрическим сетям </w:t>
      </w:r>
      <w:hyperlink w:anchor="Par119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93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279"/>
        <w:gridCol w:w="624"/>
        <w:gridCol w:w="4111"/>
      </w:tblGrid>
      <w:tr w:rsidR="00BF180F" w:rsidTr="00BF180F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предприятие коммунальных электрических, тепловых и газовых сетей муниципального района </w:t>
            </w:r>
            <w:r>
              <w:rPr>
                <w:rFonts w:ascii="Calibri" w:hAnsi="Calibri" w:cs="Calibri"/>
              </w:rPr>
              <w:t xml:space="preserve"> «Мосальский район»</w:t>
            </w:r>
          </w:p>
        </w:tc>
      </w:tr>
      <w:tr w:rsidR="00BF180F" w:rsidTr="00BF180F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BF180F" w:rsidTr="00BF180F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BF180F" w:rsidTr="00BF180F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1201"/>
            <w:bookmarkEnd w:id="1"/>
            <w:r>
              <w:rPr>
                <w:rFonts w:ascii="Calibri" w:hAnsi="Calibri" w:cs="Calibri"/>
              </w:rPr>
              <w:t>Информация об условиях, на которых осуществляется поставка регулируемых товаров (работ, услуг) и (или) об условиях договоров об осуществлении технологического присоединения к электрическим сетям</w:t>
            </w:r>
          </w:p>
        </w:tc>
      </w:tr>
      <w:tr w:rsidR="00BF180F" w:rsidTr="00BF18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Договоры поставки регулируемых товаров (оказания регулируемых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типовых формах договоров</w:t>
            </w:r>
          </w:p>
        </w:tc>
      </w:tr>
      <w:tr w:rsidR="00BF180F" w:rsidTr="00BF18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F180F" w:rsidTr="00BF18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о возмездном оказании услуг по передаче электрической энергии </w:t>
            </w:r>
            <w:hyperlink w:anchor="Par121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Примерная форма договора прилагается регулируемой организацией</w:t>
            </w:r>
          </w:p>
        </w:tc>
      </w:tr>
      <w:tr w:rsidR="00BF180F" w:rsidTr="00BF18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об осуществлении технологического присоединения к электрическим сетям </w:t>
            </w:r>
            <w:hyperlink w:anchor="Par121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типового договора прилагаются регулируемой организацией</w:t>
            </w:r>
          </w:p>
        </w:tc>
      </w:tr>
    </w:tbl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16"/>
      <w:bookmarkEnd w:id="2"/>
      <w:r>
        <w:rPr>
          <w:rFonts w:ascii="Calibri" w:hAnsi="Calibri" w:cs="Calibri"/>
        </w:rPr>
        <w:t xml:space="preserve">&lt;2&gt; </w:t>
      </w:r>
      <w:hyperlink w:anchor="Par1221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об условиях договора о возмездном оказании услуг по передаче электрической энергии раскрывается регулируемой организацией в соответствии с таблицей 5.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17"/>
      <w:bookmarkEnd w:id="3"/>
      <w:r>
        <w:rPr>
          <w:rFonts w:ascii="Calibri" w:hAnsi="Calibri" w:cs="Calibri"/>
        </w:rPr>
        <w:t xml:space="preserve">&lt;3&gt; </w:t>
      </w:r>
      <w:hyperlink w:anchor="Par1246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об условиях договора об осуществлении технологического присоединения к электрическим сетям раскрывается регулируемой организацией в соответствии с таблицей 6.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1219"/>
      <w:bookmarkEnd w:id="4"/>
      <w:r>
        <w:rPr>
          <w:rFonts w:ascii="Calibri" w:hAnsi="Calibri" w:cs="Calibri"/>
        </w:rPr>
        <w:t>Таблица 5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221"/>
      <w:bookmarkEnd w:id="5"/>
      <w:r>
        <w:rPr>
          <w:rFonts w:ascii="Calibri" w:hAnsi="Calibri" w:cs="Calibri"/>
        </w:rPr>
        <w:t>Информация об условиях договора о возмездном оказании услуг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BF180F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1224"/>
            <w:bookmarkEnd w:id="6"/>
            <w:r>
              <w:rPr>
                <w:rFonts w:ascii="Calibri" w:hAnsi="Calibri" w:cs="Calibri"/>
              </w:rPr>
              <w:t>Договор о возмездном оказании услуг по передаче электрической энергии</w:t>
            </w:r>
          </w:p>
        </w:tc>
      </w:tr>
      <w:tr w:rsidR="00BF180F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пунктом 13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 к услугам по передаче электрической энергии и оказания этих услуг, утвержденных постановлением Правительства Российской Федерации от 27.12.2004 N 861 (опубликовано в изданиях:</w:t>
            </w:r>
            <w:proofErr w:type="gramEnd"/>
            <w:r>
              <w:rPr>
                <w:rFonts w:ascii="Calibri" w:hAnsi="Calibri" w:cs="Calibri"/>
              </w:rPr>
              <w:t xml:space="preserve"> "Собрание законодательства РФ", 27.12.2004, N 52 (часть 2), ст. 5525; "Российская газета", N 7, 19.01.2005) (далее - Правила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доступа), договор о возмездном оказании услуг по передаче электрической энергии содержит следующие существенные условия: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а) величина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технологически </w:t>
            </w:r>
            <w:r>
              <w:rPr>
                <w:rFonts w:ascii="Calibri" w:hAnsi="Calibri" w:cs="Calibri"/>
              </w:rPr>
              <w:lastRenderedPageBreak/>
              <w:t xml:space="preserve">присоединенных в установленном законодательством Российской Федерации порядке к электрической сети, определенная в соответствии с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пунктом 13(1)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доступа, с распределением указанной величины по каждой точке поставки;</w:t>
            </w:r>
            <w:proofErr w:type="gramEnd"/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порядок </w:t>
            </w:r>
            <w:proofErr w:type="gramStart"/>
            <w:r>
              <w:rPr>
                <w:rFonts w:ascii="Calibri" w:hAnsi="Calibri" w:cs="Calibri"/>
              </w:rPr>
              <w:t>определения размера обязательств потребителя услуг</w:t>
            </w:r>
            <w:proofErr w:type="gramEnd"/>
            <w:r>
              <w:rPr>
                <w:rFonts w:ascii="Calibri" w:hAnsi="Calibri" w:cs="Calibri"/>
              </w:rPr>
              <w:t xml:space="preserve"> по оплате услуг по передаче электрической энергии в соответствии с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пунктом 15(1)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доступа, включающий: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расчета стоимости услуг сетевой организации по передаче электрической энергии; </w:t>
            </w:r>
            <w:hyperlink w:anchor="Par12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ответственность потребителя услуг и сетевой организации за состояние и обслуживание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г) сведения о приборах учета электрической энергии (мощности), установленных на дату заключения договора в отношении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      </w:r>
            <w:proofErr w:type="spellStart"/>
            <w:r>
              <w:rPr>
                <w:rFonts w:ascii="Calibri" w:hAnsi="Calibri" w:cs="Calibri"/>
              </w:rPr>
              <w:t>межповерочного</w:t>
            </w:r>
            <w:proofErr w:type="spellEnd"/>
            <w:r>
              <w:rPr>
                <w:rFonts w:ascii="Calibri" w:hAnsi="Calibri" w:cs="Calibri"/>
              </w:rPr>
              <w:t xml:space="preserve"> интервала;</w:t>
            </w:r>
          </w:p>
        </w:tc>
      </w:tr>
      <w:tr w:rsidR="00BF180F" w:rsidTr="008F0EEE"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д</w:t>
            </w:r>
            <w:proofErr w:type="spellEnd"/>
            <w:r>
              <w:rPr>
                <w:rFonts w:ascii="Calibri" w:hAnsi="Calibri" w:cs="Calibri"/>
              </w:rPr>
              <w:t xml:space="preserve">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е) обязанность потребителя услуг, </w:t>
            </w:r>
            <w:proofErr w:type="spellStart"/>
            <w:r>
              <w:rPr>
                <w:rFonts w:ascii="Calibri" w:hAnsi="Calibri" w:cs="Calibri"/>
              </w:rPr>
              <w:t>энергопринимающие</w:t>
            </w:r>
            <w:proofErr w:type="spellEnd"/>
            <w:r>
              <w:rPr>
                <w:rFonts w:ascii="Calibri" w:hAnsi="Calibri" w:cs="Calibri"/>
              </w:rPr>
              <w:t xml:space="preserve"> устройства которого подключены к системам противоаварийной и режимной автоматики, установленным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861, или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доступа, и находятся</w:t>
            </w:r>
            <w:proofErr w:type="gramEnd"/>
            <w:r>
              <w:rPr>
                <w:rFonts w:ascii="Calibri" w:hAnsi="Calibri" w:cs="Calibri"/>
              </w:rPr>
              <w:t xml:space="preserve">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пунктом 31(5)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 в договор включаются условия, соответствующие установленной документами о технологическом присоединении категории надежности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в отношении которых заключен договор.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пунктом 31(3)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 приложением к договору является акт технологической и (или) аварийной брони.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Обязанности потребителя и сетевой организации при исполнении договора предусмотрены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пунктами 14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proofErr w:type="spellStart"/>
            <w:r>
              <w:rPr>
                <w:rFonts w:ascii="Calibri" w:hAnsi="Calibri" w:cs="Calibri"/>
              </w:rPr>
              <w:t>недискриминационного</w:t>
            </w:r>
            <w:proofErr w:type="spellEnd"/>
            <w:r>
              <w:rPr>
                <w:rFonts w:ascii="Calibri" w:hAnsi="Calibri" w:cs="Calibri"/>
              </w:rPr>
              <w:t xml:space="preserve"> доступа</w:t>
            </w:r>
          </w:p>
        </w:tc>
      </w:tr>
    </w:tbl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39"/>
      <w:bookmarkEnd w:id="7"/>
      <w:r>
        <w:rPr>
          <w:rFonts w:ascii="Calibri" w:hAnsi="Calibri" w:cs="Calibri"/>
        </w:rPr>
        <w:t xml:space="preserve">&lt;*&gt;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15(1)</w:t>
        </w:r>
      </w:hyperlink>
      <w:r>
        <w:rPr>
          <w:rFonts w:ascii="Calibri" w:hAnsi="Calibri" w:cs="Calibri"/>
        </w:rPr>
        <w:t xml:space="preserve"> Правил </w:t>
      </w: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стоимость услуг по передаче электрической энергии определяется исходя из тарифа на услуги по передаче электрической энергии, определяемого в соответствии с </w:t>
      </w:r>
      <w:hyperlink r:id="rId15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Правил </w:t>
      </w: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доступа, и объема оказанных услуг по передаче электрической энергии.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15(2)</w:t>
        </w:r>
      </w:hyperlink>
      <w:r>
        <w:rPr>
          <w:rFonts w:ascii="Calibri" w:hAnsi="Calibri" w:cs="Calibri"/>
        </w:rPr>
        <w:t xml:space="preserve"> Правил </w:t>
      </w: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оплата услуг по передаче электрической энергии, если иное не установлено соглашением сторон, должна осуществляться в следующие сроки: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гарантирующие поставщики оплачивают услуги по передаче электрической энергии, оказываемые в интересах обслуживаемых ими потребителей, до 15-го числа месяца, следующего за </w:t>
      </w:r>
      <w:proofErr w:type="gramStart"/>
      <w:r>
        <w:rPr>
          <w:rFonts w:ascii="Calibri" w:hAnsi="Calibri" w:cs="Calibri"/>
        </w:rPr>
        <w:t>расчетным</w:t>
      </w:r>
      <w:proofErr w:type="gramEnd"/>
      <w:r>
        <w:rPr>
          <w:rFonts w:ascii="Calibri" w:hAnsi="Calibri" w:cs="Calibri"/>
        </w:rPr>
        <w:t>;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иные потребители услуг по передаче электрической энергии (за исключением населения) оплачивают 50 процентов стоимости оказываемых им услуг по передаче электрической энергии на условиях предоплаты.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244"/>
      <w:bookmarkEnd w:id="8"/>
      <w:r>
        <w:rPr>
          <w:rFonts w:ascii="Calibri" w:hAnsi="Calibri" w:cs="Calibri"/>
        </w:rPr>
        <w:t>Таблица 6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246"/>
      <w:bookmarkEnd w:id="9"/>
      <w:r>
        <w:rPr>
          <w:rFonts w:ascii="Calibri" w:hAnsi="Calibri" w:cs="Calibri"/>
        </w:rPr>
        <w:t>Информация об условиях договора об осуществлении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BF180F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1249"/>
            <w:bookmarkEnd w:id="10"/>
            <w:r>
              <w:rPr>
                <w:rFonts w:ascii="Calibri" w:hAnsi="Calibri" w:cs="Calibri"/>
              </w:rPr>
              <w:t>Договор об осуществлении технологического присоединения к электрическим сетям</w:t>
            </w:r>
          </w:p>
        </w:tc>
      </w:tr>
      <w:tr w:rsidR="00BF180F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пунктом 16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(опубликовано в изданиях:</w:t>
            </w:r>
            <w:proofErr w:type="gramEnd"/>
            <w:r>
              <w:rPr>
                <w:rFonts w:ascii="Calibri" w:hAnsi="Calibri" w:cs="Calibri"/>
              </w:rPr>
              <w:t xml:space="preserve"> "Собрание законодательства РФ", 27.12.2004, N 52 (часть 2), ст. 5525; "Российская газета", N 7, 19.01.2005) (далее - Правила технологического присоединения), договор об осуществлении технологического присоединения к электрическим сетям содержит следующие существенные условия: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б) срок осуществления мероприятий по технологическому присоединению, который </w:t>
            </w:r>
            <w:proofErr w:type="gramStart"/>
            <w:r>
              <w:rPr>
                <w:rFonts w:ascii="Calibri" w:hAnsi="Calibri" w:cs="Calibri"/>
              </w:rPr>
              <w:t>исчисляется со дня заключения договора и не может</w:t>
            </w:r>
            <w:proofErr w:type="gramEnd"/>
            <w:r>
              <w:rPr>
                <w:rFonts w:ascii="Calibri" w:hAnsi="Calibri" w:cs="Calibri"/>
              </w:rPr>
              <w:t xml:space="preserve"> превышать: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rPr>
                <w:rFonts w:ascii="Calibri" w:hAnsi="Calibri" w:cs="Calibri"/>
              </w:rPr>
              <w:t>энергопринимающие</w:t>
            </w:r>
            <w:proofErr w:type="spellEnd"/>
            <w:r>
              <w:rPr>
                <w:rFonts w:ascii="Calibri" w:hAnsi="Calibri" w:cs="Calibri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>
              <w:rPr>
                <w:rFonts w:ascii="Calibri" w:hAnsi="Calibri" w:cs="Calibri"/>
              </w:rPr>
              <w:t xml:space="preserve"> по строительству (реконструкции)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 от существующих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 до присоединяемых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и (или) объектов электроэнергетики:</w:t>
            </w:r>
          </w:p>
        </w:tc>
      </w:tr>
      <w:tr w:rsidR="00BF180F" w:rsidTr="008F0EEE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месяца - для заявителей, 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которых составляет до 670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год - для заявителей, 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которых составляет свыше 670 кВт;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иных случаях: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рабочих дней (если в заявке не указан более продолжительный срок) - при временном технологическом присоединении заявителей, </w:t>
            </w:r>
            <w:proofErr w:type="spellStart"/>
            <w:r>
              <w:rPr>
                <w:rFonts w:ascii="Calibri" w:hAnsi="Calibri" w:cs="Calibri"/>
              </w:rPr>
              <w:t>энергопринимающие</w:t>
            </w:r>
            <w:proofErr w:type="spellEnd"/>
            <w:r>
              <w:rPr>
                <w:rFonts w:ascii="Calibri" w:hAnsi="Calibri" w:cs="Calibri"/>
              </w:rPr>
              <w:t xml:space="preserve"> устройства которых являются передвижными и имеют максимальную мощность до 150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 xml:space="preserve">ючительно, если расстояние от </w:t>
            </w:r>
            <w:proofErr w:type="spellStart"/>
            <w:r>
              <w:rPr>
                <w:rFonts w:ascii="Calibri" w:hAnsi="Calibri" w:cs="Calibri"/>
              </w:rPr>
              <w:t>энергопринимающего</w:t>
            </w:r>
            <w:proofErr w:type="spellEnd"/>
            <w:r>
              <w:rPr>
                <w:rFonts w:ascii="Calibri" w:hAnsi="Calibri" w:cs="Calibri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месяцев - для заявителей,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пунктах 12(1)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присоединения, если технологическое присоединение осуществляется к электрическим сетям, </w:t>
            </w:r>
            <w:r>
              <w:rPr>
                <w:rFonts w:ascii="Calibri" w:hAnsi="Calibri" w:cs="Calibri"/>
              </w:rPr>
              <w:lastRenderedPageBreak/>
              <w:t xml:space="preserve">уровень напряжения которых составляет до 20 кВ включительно,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>
              <w:rPr>
                <w:rFonts w:ascii="Calibri" w:hAnsi="Calibri" w:cs="Calibri"/>
              </w:rPr>
              <w:t>энергопринимающие</w:t>
            </w:r>
            <w:proofErr w:type="spellEnd"/>
            <w:r>
              <w:rPr>
                <w:rFonts w:ascii="Calibri" w:hAnsi="Calibri" w:cs="Calibri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год - для заявителей, 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- для заявителей, 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      </w:r>
          </w:p>
        </w:tc>
      </w:tr>
      <w:tr w:rsidR="00BF180F" w:rsidTr="008F0EEE">
        <w:tc>
          <w:tcPr>
            <w:tcW w:w="9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в) положение об ответственности сторон за несоблюдение установленных договором и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технологического присоединения сроков исполнения своих обязательств, в том числе: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ставки рефинансирования</w:t>
              </w:r>
            </w:hyperlink>
            <w:r>
              <w:rPr>
                <w:rFonts w:ascii="Calibri" w:hAnsi="Calibri" w:cs="Calibri"/>
              </w:rPr>
              <w:t xml:space="preserve">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spellEnd"/>
            <w:r>
              <w:rPr>
                <w:rFonts w:ascii="Calibri" w:hAnsi="Calibri" w:cs="Calibri"/>
              </w:rPr>
              <w:t xml:space="preserve">) 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  <w:r>
              <w:rPr>
                <w:rFonts w:ascii="Calibri" w:hAnsi="Calibri" w:cs="Calibri"/>
              </w:rPr>
              <w:t xml:space="preserve"> размер платы за технологическое присоединение определяется с учетом особенностей, установленных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разделом III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присоединения); </w:t>
            </w:r>
            <w:hyperlink w:anchor="Par127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BF180F" w:rsidRDefault="00BF180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е) порядок и сроки внесения заявителем платы за технологическое присоединение </w:t>
            </w:r>
            <w:hyperlink w:anchor="Par12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</w:tbl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70"/>
      <w:bookmarkEnd w:id="11"/>
      <w:r>
        <w:rPr>
          <w:rFonts w:ascii="Calibri" w:hAnsi="Calibri" w:cs="Calibri"/>
        </w:rPr>
        <w:t>&lt;*&gt; Размер платы за подключение определяется в соответствии с нормативным правовым актом органа регулирования Калужской области.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71"/>
      <w:bookmarkEnd w:id="12"/>
      <w:r>
        <w:rPr>
          <w:rFonts w:ascii="Calibri" w:hAnsi="Calibri" w:cs="Calibri"/>
        </w:rPr>
        <w:t xml:space="preserve">&lt;**&gt; Порядок и сроки внесения заявителем платы за подключение установлены </w:t>
      </w:r>
      <w:hyperlink r:id="rId24" w:history="1">
        <w:r>
          <w:rPr>
            <w:rFonts w:ascii="Calibri" w:hAnsi="Calibri" w:cs="Calibri"/>
            <w:color w:val="0000FF"/>
          </w:rPr>
          <w:t>пунктами 16(2)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16(4)</w:t>
        </w:r>
      </w:hyperlink>
      <w:r>
        <w:rPr>
          <w:rFonts w:ascii="Calibri" w:hAnsi="Calibri" w:cs="Calibri"/>
        </w:rPr>
        <w:t xml:space="preserve"> Правил технологического присоединения.</w:t>
      </w:r>
    </w:p>
    <w:p w:rsidR="00BF180F" w:rsidRDefault="00BF180F" w:rsidP="00BF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F180F"/>
    <w:rsid w:val="008C6A83"/>
    <w:rsid w:val="00B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B0DBF291BA056190751EB283F88C01171257F928956F2A9C7BC98C937106l7i7I" TargetMode="External"/><Relationship Id="rId13" Type="http://schemas.openxmlformats.org/officeDocument/2006/relationships/hyperlink" Target="consultantplus://offline/ref=04288F788B61E92B7364B0DBF291BA056190751EB283F88C01171257F928956F2A9C7BC98C937203l7i6I" TargetMode="External"/><Relationship Id="rId18" Type="http://schemas.openxmlformats.org/officeDocument/2006/relationships/hyperlink" Target="consultantplus://offline/ref=04288F788B61E92B7364B0DBF291BA056190751EB283F88C01171257F928956F2A9C7BCC8Fl9i5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288F788B61E92B7364B0DBF291BA056190751EB283F88C01171257F928956F2A9C7BC98C937106l7i7I" TargetMode="External"/><Relationship Id="rId7" Type="http://schemas.openxmlformats.org/officeDocument/2006/relationships/hyperlink" Target="consultantplus://offline/ref=04288F788B61E92B7364B0DBF291BA056190751EB283F88C01171257F928956F2A9C7BC98C927601l7i0I" TargetMode="External"/><Relationship Id="rId12" Type="http://schemas.openxmlformats.org/officeDocument/2006/relationships/hyperlink" Target="consultantplus://offline/ref=04288F788B61E92B7364B0DBF291BA056190751EB283F88C01171257F928956F2A9C7BC98C937200l7i4I" TargetMode="External"/><Relationship Id="rId17" Type="http://schemas.openxmlformats.org/officeDocument/2006/relationships/hyperlink" Target="consultantplus://offline/ref=04288F788B61E92B7364B0DBF291BA056190751EB283F88C01171257F928956F2A9C7BC98C937E03l7i3I" TargetMode="External"/><Relationship Id="rId25" Type="http://schemas.openxmlformats.org/officeDocument/2006/relationships/hyperlink" Target="consultantplus://offline/ref=04288F788B61E92B7364B0DBF291BA056190751EB283F88C01171257F928956F2A9C7BC98C927701l7i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88F788B61E92B7364B0DBF291BA056190751EB283F88C01171257F928956F2A9C7BC98C927601l7i7I" TargetMode="External"/><Relationship Id="rId20" Type="http://schemas.openxmlformats.org/officeDocument/2006/relationships/hyperlink" Target="consultantplus://offline/ref=04288F788B61E92B7364B0DBF291BA056190751EB283F88C01171257F928956F2A9C7BC98C927709l7i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0751EB283F88C01171257F928956F2A9C7BC98C937F09l7i2I" TargetMode="External"/><Relationship Id="rId11" Type="http://schemas.openxmlformats.org/officeDocument/2006/relationships/hyperlink" Target="consultantplus://offline/ref=04288F788B61E92B7364B0DBF291BA056190751EB283F88C01171257F928956F2A9C7BC98C927605l7i0I" TargetMode="External"/><Relationship Id="rId24" Type="http://schemas.openxmlformats.org/officeDocument/2006/relationships/hyperlink" Target="consultantplus://offline/ref=04288F788B61E92B7364B0DBF291BA056190751EB283F88C01171257F928956F2A9C7BCC88l9i2I" TargetMode="External"/><Relationship Id="rId5" Type="http://schemas.openxmlformats.org/officeDocument/2006/relationships/hyperlink" Target="consultantplus://offline/ref=04288F788B61E92B7364B0DBF291BA056190751EB283F88C01171257F928956F2A9C7BC98C937200l7i1I" TargetMode="External"/><Relationship Id="rId15" Type="http://schemas.openxmlformats.org/officeDocument/2006/relationships/hyperlink" Target="consultantplus://offline/ref=04288F788B61E92B7364B0DBF291BA056190751EB283F88C01171257F928956F2A9C7BC98C937303l7i7I" TargetMode="External"/><Relationship Id="rId23" Type="http://schemas.openxmlformats.org/officeDocument/2006/relationships/hyperlink" Target="consultantplus://offline/ref=04288F788B61E92B7364B0DBF291BA056190751EB283F88C01171257F928956F2A9C7BCBl8i4I" TargetMode="External"/><Relationship Id="rId10" Type="http://schemas.openxmlformats.org/officeDocument/2006/relationships/hyperlink" Target="consultantplus://offline/ref=04288F788B61E92B7364B0DBF291BA056190751EB283F88C01171257F928956F2A9C7BC98C927605l7i7I" TargetMode="External"/><Relationship Id="rId19" Type="http://schemas.openxmlformats.org/officeDocument/2006/relationships/hyperlink" Target="consultantplus://offline/ref=04288F788B61E92B7364B0DBF291BA056190751EB283F88C01171257F928956F2A9C7BC98C927609l7i1I" TargetMode="External"/><Relationship Id="rId4" Type="http://schemas.openxmlformats.org/officeDocument/2006/relationships/hyperlink" Target="consultantplus://offline/ref=04288F788B61E92B7364B0DBF291BA0561917710B282F88C01171257F928956F2A9C7BCEl8i9I" TargetMode="External"/><Relationship Id="rId9" Type="http://schemas.openxmlformats.org/officeDocument/2006/relationships/hyperlink" Target="consultantplus://offline/ref=04288F788B61E92B7364B0DBF291BA056190751EB283F88C01171257F928956F2A9C7BC98C937506l7i8I" TargetMode="External"/><Relationship Id="rId14" Type="http://schemas.openxmlformats.org/officeDocument/2006/relationships/hyperlink" Target="consultantplus://offline/ref=04288F788B61E92B7364B0DBF291BA056190751EB283F88C01171257F928956F2A9C7BC98C927601l7i0I" TargetMode="External"/><Relationship Id="rId22" Type="http://schemas.openxmlformats.org/officeDocument/2006/relationships/hyperlink" Target="consultantplus://offline/ref=04288F788B61E92B7364B0DBF291BA0561947713B48BA586094E1E55lFi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2310</Words>
  <Characters>13170</Characters>
  <Application>Microsoft Office Word</Application>
  <DocSecurity>0</DocSecurity>
  <Lines>109</Lines>
  <Paragraphs>30</Paragraphs>
  <ScaleCrop>false</ScaleCrop>
  <Company>Microsoft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2016-03-14T09:11:00Z</dcterms:created>
  <dcterms:modified xsi:type="dcterms:W3CDTF">2016-03-14T09:13:00Z</dcterms:modified>
</cp:coreProperties>
</file>