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Par186"/>
      <w:bookmarkEnd w:id="0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Форма 1.1. Информация о тарифах на услуги по передаче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и размерах платы за </w:t>
      </w:r>
      <w:proofErr w:type="gramStart"/>
      <w:r w:rsidRPr="008D043C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присоединение к электрическим сетям на текущий период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регулирования </w:t>
      </w:r>
      <w:hyperlink w:anchor="Par65" w:history="1">
        <w:r w:rsidRPr="008D043C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--------------------------------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D043C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8D043C">
          <w:rPr>
            <w:rFonts w:ascii="Times New Roman" w:hAnsi="Times New Roman" w:cs="Times New Roman"/>
            <w:color w:val="0000FF"/>
          </w:rPr>
          <w:t>пунктом 12</w:t>
        </w:r>
      </w:hyperlink>
      <w:r w:rsidRPr="008D043C"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Таблица 2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об индивидуальных тарифах на услуги по передаче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для взаиморасчетов между </w:t>
      </w:r>
      <w:proofErr w:type="gramStart"/>
      <w:r w:rsidRPr="008D043C">
        <w:rPr>
          <w:rFonts w:ascii="Times New Roman" w:hAnsi="Times New Roman" w:cs="Times New Roman"/>
          <w:b/>
        </w:rPr>
        <w:t>сетевыми</w:t>
      </w:r>
      <w:proofErr w:type="gramEnd"/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организациями</w:t>
      </w:r>
      <w:r w:rsidR="00122FD5" w:rsidRPr="008D043C">
        <w:rPr>
          <w:rFonts w:ascii="Times New Roman" w:hAnsi="Times New Roman" w:cs="Times New Roman"/>
          <w:b/>
        </w:rPr>
        <w:t xml:space="preserve"> на 2017</w:t>
      </w:r>
      <w:r w:rsidR="00C2541D" w:rsidRPr="008D043C">
        <w:rPr>
          <w:rFonts w:ascii="Times New Roman" w:hAnsi="Times New Roman" w:cs="Times New Roman"/>
          <w:b/>
        </w:rPr>
        <w:t xml:space="preserve"> год.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249930, </w:t>
            </w:r>
            <w:r w:rsidR="0038553E" w:rsidRPr="008D043C">
              <w:rPr>
                <w:rFonts w:ascii="Times New Roman" w:hAnsi="Times New Roman" w:cs="Times New Roman"/>
              </w:rPr>
              <w:t>г. Мосальск, ул. Энгельса, д.43а</w:t>
            </w:r>
          </w:p>
        </w:tc>
      </w:tr>
      <w:tr w:rsidR="00642F46" w:rsidRPr="008D043C" w:rsidTr="00642F4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98"/>
            <w:bookmarkEnd w:id="1"/>
            <w:r w:rsidRPr="008D043C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8D043C">
              <w:rPr>
                <w:rFonts w:ascii="Times New Roman" w:hAnsi="Times New Roman" w:cs="Times New Roman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 регулирования, 2017</w:t>
            </w:r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27</w:t>
            </w:r>
            <w:r w:rsidR="008D043C"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394</w:t>
            </w:r>
            <w:r w:rsidR="005F7F1D" w:rsidRPr="008D043C">
              <w:rPr>
                <w:rFonts w:ascii="Times New Roman" w:hAnsi="Times New Roman" w:cs="Times New Roman"/>
              </w:rPr>
              <w:t>-РК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министерства тарифного регулирования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Наименование сетевой организации - 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ПАО «МРСК Центра</w:t>
            </w:r>
            <w:r w:rsidR="001214B7" w:rsidRPr="008D043C">
              <w:rPr>
                <w:rFonts w:ascii="Times New Roman" w:hAnsi="Times New Roman" w:cs="Times New Roman"/>
              </w:rPr>
              <w:t xml:space="preserve"> и П</w:t>
            </w:r>
            <w:r w:rsidRPr="008D043C">
              <w:rPr>
                <w:rFonts w:ascii="Times New Roman" w:hAnsi="Times New Roman" w:cs="Times New Roman"/>
              </w:rPr>
              <w:t>риволжья»</w:t>
            </w:r>
            <w:r w:rsidR="001214B7" w:rsidRPr="008D043C">
              <w:rPr>
                <w:rFonts w:ascii="Times New Roman" w:hAnsi="Times New Roman" w:cs="Times New Roman"/>
              </w:rPr>
              <w:t xml:space="preserve"> филиал «Калугаэнерго»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14B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642F46" w:rsidRPr="008D043C" w:rsidTr="00642F4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I полугодие 2017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II </w:t>
            </w:r>
            <w:r w:rsidR="00122FD5" w:rsidRPr="008D043C">
              <w:rPr>
                <w:rFonts w:ascii="Times New Roman" w:hAnsi="Times New Roman" w:cs="Times New Roman"/>
              </w:rPr>
              <w:t>полугодие 2017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42F46" w:rsidRPr="008D043C" w:rsidTr="00642F4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ставка на оплату технологического расхода </w:t>
            </w:r>
            <w:r w:rsidRPr="008D043C">
              <w:rPr>
                <w:rFonts w:ascii="Times New Roman" w:hAnsi="Times New Roman" w:cs="Times New Roman"/>
              </w:rPr>
              <w:lastRenderedPageBreak/>
              <w:t>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ставка на оплату технологического расхода </w:t>
            </w:r>
            <w:r w:rsidRPr="008D043C">
              <w:rPr>
                <w:rFonts w:ascii="Times New Roman" w:hAnsi="Times New Roman" w:cs="Times New Roman"/>
              </w:rPr>
              <w:lastRenderedPageBreak/>
              <w:t>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lastRenderedPageBreak/>
              <w:t>р</w:t>
            </w:r>
            <w:r w:rsidR="00887287" w:rsidRPr="008D043C">
              <w:rPr>
                <w:rFonts w:ascii="Times New Roman" w:hAnsi="Times New Roman" w:cs="Times New Roman"/>
              </w:rPr>
              <w:t>уб./МВт</w:t>
            </w:r>
            <w:proofErr w:type="gramStart"/>
            <w:r w:rsidR="00887287"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МВт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руб./МВт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351113,3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1,4867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365308,6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158,3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1,5479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Упрощённая</w:t>
            </w:r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" w:name="Par238"/>
      <w:bookmarkEnd w:id="2"/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Таблица 3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 размерах платы за технологическое присоединение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к электрическим сетям на текущий период регулирования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414"/>
        <w:gridCol w:w="2381"/>
      </w:tblGrid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</w:t>
            </w:r>
            <w:r w:rsidR="00077A5A" w:rsidRPr="008D043C">
              <w:rPr>
                <w:rFonts w:ascii="Times New Roman" w:hAnsi="Times New Roman" w:cs="Times New Roman"/>
              </w:rPr>
              <w:t>49930, г. М</w:t>
            </w:r>
            <w:r w:rsidRPr="008D043C">
              <w:rPr>
                <w:rFonts w:ascii="Times New Roman" w:hAnsi="Times New Roman" w:cs="Times New Roman"/>
              </w:rPr>
              <w:t>осальск, ул. Энгельса, д.</w:t>
            </w:r>
            <w:r w:rsidR="00077A5A" w:rsidRPr="008D043C">
              <w:rPr>
                <w:rFonts w:ascii="Times New Roman" w:hAnsi="Times New Roman" w:cs="Times New Roman"/>
              </w:rPr>
              <w:t xml:space="preserve"> 43а</w:t>
            </w:r>
          </w:p>
        </w:tc>
      </w:tr>
      <w:tr w:rsidR="00642F46" w:rsidRPr="008D043C" w:rsidTr="00642F46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249"/>
            <w:bookmarkEnd w:id="3"/>
            <w:r w:rsidRPr="008D043C">
              <w:rPr>
                <w:rFonts w:ascii="Times New Roman" w:hAnsi="Times New Roman" w:cs="Times New Roman"/>
              </w:rPr>
              <w:t>Информация о размерах платы за технологическое присоединение к электрическим сетям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 регулирования, 2017</w:t>
            </w:r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077A5A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27.12.2016</w:t>
            </w:r>
            <w:r w:rsidR="00614FA9" w:rsidRPr="008D04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2FD5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397</w:t>
            </w:r>
            <w:r w:rsidR="00614FA9" w:rsidRPr="008D043C">
              <w:rPr>
                <w:rFonts w:ascii="Times New Roman" w:hAnsi="Times New Roman" w:cs="Times New Roman"/>
              </w:rPr>
              <w:t>-РК</w:t>
            </w:r>
          </w:p>
        </w:tc>
      </w:tr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14FA9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министерства тарифного регулирования</w:t>
            </w:r>
          </w:p>
        </w:tc>
      </w:tr>
      <w:tr w:rsidR="00642F46" w:rsidRPr="008D043C" w:rsidTr="00642F4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без НДС</w:t>
            </w:r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4" w:name="Par262"/>
      <w:bookmarkEnd w:id="4"/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D043C" w:rsidRPr="008D043C" w:rsidRDefault="008D043C" w:rsidP="008D0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Таблица 3.1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043C" w:rsidRPr="008D043C" w:rsidRDefault="008D043C" w:rsidP="008D043C">
      <w:pPr>
        <w:pStyle w:val="a5"/>
        <w:jc w:val="center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Стандартизированные тарифные ставки</w:t>
      </w:r>
    </w:p>
    <w:p w:rsidR="008D043C" w:rsidRPr="008D043C" w:rsidRDefault="008D043C" w:rsidP="008D043C">
      <w:pPr>
        <w:pStyle w:val="a5"/>
        <w:jc w:val="center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для расчета платы за технологическое присоединение к электрическим сетям Муниципального предприя</w:t>
      </w:r>
      <w:r>
        <w:rPr>
          <w:rFonts w:ascii="Times New Roman" w:hAnsi="Times New Roman" w:cs="Times New Roman"/>
        </w:rPr>
        <w:t xml:space="preserve">тия коммунальных электрических, тепловых и газовых сетей муниципального района «Мосальский район» </w:t>
      </w:r>
      <w:r w:rsidRPr="008D043C">
        <w:rPr>
          <w:rFonts w:ascii="Times New Roman" w:hAnsi="Times New Roman" w:cs="Times New Roman"/>
        </w:rPr>
        <w:t xml:space="preserve"> &lt;1&gt;</w:t>
      </w:r>
    </w:p>
    <w:tbl>
      <w:tblPr>
        <w:tblW w:w="6789" w:type="dxa"/>
        <w:jc w:val="right"/>
        <w:tblLook w:val="01E0" w:firstRow="1" w:lastRow="1" w:firstColumn="1" w:lastColumn="1" w:noHBand="0" w:noVBand="0"/>
      </w:tblPr>
      <w:tblGrid>
        <w:gridCol w:w="2855"/>
        <w:gridCol w:w="3934"/>
      </w:tblGrid>
      <w:tr w:rsidR="008D043C" w:rsidRPr="008D043C" w:rsidTr="00E925B5">
        <w:trPr>
          <w:jc w:val="right"/>
        </w:trPr>
        <w:tc>
          <w:tcPr>
            <w:tcW w:w="285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4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3934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043C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043C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министерства </w:t>
            </w:r>
            <w:r w:rsidRPr="008D0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конкурентной политики</w:t>
            </w: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043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043C">
              <w:rPr>
                <w:rFonts w:ascii="Times New Roman" w:hAnsi="Times New Roman" w:cs="Times New Roman"/>
                <w:sz w:val="26"/>
                <w:szCs w:val="26"/>
              </w:rPr>
              <w:t>от 27.12.2016 № 397-РК</w:t>
            </w:r>
          </w:p>
        </w:tc>
      </w:tr>
    </w:tbl>
    <w:p w:rsidR="008D043C" w:rsidRPr="008D043C" w:rsidRDefault="008D043C" w:rsidP="008D043C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828"/>
        <w:gridCol w:w="5812"/>
      </w:tblGrid>
      <w:tr w:rsidR="008D043C" w:rsidRPr="008D043C" w:rsidTr="00E925B5">
        <w:trPr>
          <w:trHeight w:val="772"/>
        </w:trPr>
        <w:tc>
          <w:tcPr>
            <w:tcW w:w="577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стандартизированной тарифной  ставки</w:t>
            </w:r>
          </w:p>
        </w:tc>
        <w:tc>
          <w:tcPr>
            <w:tcW w:w="5812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 ставки</w:t>
            </w:r>
            <w:r w:rsidRPr="008D043C">
              <w:rPr>
                <w:rFonts w:ascii="Times New Roman" w:hAnsi="Times New Roman" w:cs="Times New Roman"/>
              </w:rPr>
              <w:t xml:space="preserve">              </w:t>
            </w: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руб./кВт (без НДС)</w:t>
            </w:r>
          </w:p>
        </w:tc>
      </w:tr>
      <w:tr w:rsidR="008D043C" w:rsidRPr="008D043C" w:rsidTr="00E925B5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043C" w:rsidRPr="008D043C" w:rsidRDefault="008D043C" w:rsidP="00E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 - стандартизированная ставка на покрытие расходов на технологическое присоединение </w:t>
            </w:r>
            <w:proofErr w:type="spellStart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без расходов, связанных со строительством объектов электросетевого хозяйства, в том числе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1 305,27</w:t>
            </w:r>
          </w:p>
        </w:tc>
      </w:tr>
      <w:tr w:rsidR="008D043C" w:rsidRPr="008D043C" w:rsidTr="00E925B5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8" w:type="dxa"/>
            <w:shd w:val="clear" w:color="auto" w:fill="auto"/>
            <w:hideMark/>
          </w:tcPr>
          <w:p w:rsidR="008D043C" w:rsidRPr="008D043C" w:rsidRDefault="008D043C" w:rsidP="00E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С 1.1 -  Подготовка и выдача сетевой    организацией технических условий  заявителю (ТУ)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599,98</w:t>
            </w:r>
          </w:p>
        </w:tc>
      </w:tr>
      <w:tr w:rsidR="008D043C" w:rsidRPr="008D043C" w:rsidTr="00E925B5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8" w:type="dxa"/>
            <w:shd w:val="clear" w:color="auto" w:fill="auto"/>
            <w:hideMark/>
          </w:tcPr>
          <w:p w:rsidR="008D043C" w:rsidRPr="008D043C" w:rsidRDefault="008D043C" w:rsidP="00E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С 1.2 -  Проверка сетевой организацией   выполнения заявителем ТУ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75,63</w:t>
            </w:r>
          </w:p>
        </w:tc>
      </w:tr>
      <w:tr w:rsidR="008D043C" w:rsidRPr="008D043C" w:rsidTr="00E925B5">
        <w:trPr>
          <w:trHeight w:val="1150"/>
        </w:trPr>
        <w:tc>
          <w:tcPr>
            <w:tcW w:w="577" w:type="dxa"/>
            <w:shd w:val="clear" w:color="auto" w:fill="auto"/>
            <w:vAlign w:val="center"/>
            <w:hideMark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8" w:type="dxa"/>
            <w:shd w:val="clear" w:color="auto" w:fill="auto"/>
            <w:hideMark/>
          </w:tcPr>
          <w:p w:rsidR="008D043C" w:rsidRPr="008D043C" w:rsidRDefault="008D043C" w:rsidP="00E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С 1.3 -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&lt;2&gt;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</w:tr>
      <w:tr w:rsidR="008D043C" w:rsidRPr="008D043C" w:rsidTr="00E925B5">
        <w:trPr>
          <w:trHeight w:val="1610"/>
        </w:trPr>
        <w:tc>
          <w:tcPr>
            <w:tcW w:w="577" w:type="dxa"/>
            <w:shd w:val="clear" w:color="auto" w:fill="auto"/>
            <w:vAlign w:val="center"/>
            <w:hideMark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hideMark/>
          </w:tcPr>
          <w:p w:rsidR="008D043C" w:rsidRPr="008D043C" w:rsidRDefault="008D043C" w:rsidP="00E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С 1.4 -</w:t>
            </w:r>
            <w:r w:rsidRPr="008D043C">
              <w:rPr>
                <w:rFonts w:ascii="Times New Roman" w:hAnsi="Times New Roman" w:cs="Times New Roman"/>
              </w:rPr>
              <w:t xml:space="preserve"> </w:t>
            </w: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C">
              <w:rPr>
                <w:rFonts w:ascii="Times New Roman" w:hAnsi="Times New Roman" w:cs="Times New Roman"/>
                <w:sz w:val="20"/>
                <w:szCs w:val="20"/>
              </w:rPr>
              <w:t>617,90</w:t>
            </w:r>
          </w:p>
        </w:tc>
      </w:tr>
    </w:tbl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8D043C">
        <w:rPr>
          <w:rFonts w:ascii="Times New Roman" w:hAnsi="Times New Roman" w:cs="Times New Roman"/>
          <w:sz w:val="26"/>
          <w:szCs w:val="20"/>
        </w:rPr>
        <w:t>&lt;1</w:t>
      </w:r>
      <w:proofErr w:type="gramStart"/>
      <w:r w:rsidRPr="008D043C">
        <w:rPr>
          <w:rFonts w:ascii="Times New Roman" w:hAnsi="Times New Roman" w:cs="Times New Roman"/>
          <w:sz w:val="26"/>
          <w:szCs w:val="20"/>
        </w:rPr>
        <w:t>&gt; П</w:t>
      </w:r>
      <w:proofErr w:type="gramEnd"/>
      <w:r w:rsidRPr="008D043C">
        <w:rPr>
          <w:rFonts w:ascii="Times New Roman" w:hAnsi="Times New Roman" w:cs="Times New Roman"/>
          <w:sz w:val="26"/>
          <w:szCs w:val="20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8D043C">
        <w:rPr>
          <w:rFonts w:ascii="Times New Roman" w:hAnsi="Times New Roman" w:cs="Times New Roman"/>
          <w:sz w:val="26"/>
          <w:szCs w:val="20"/>
        </w:rPr>
        <w:t>&lt;2&gt; Данные расходы не учитываются при расчёте платы за технологическое присоединение: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8D043C">
        <w:rPr>
          <w:rFonts w:ascii="Times New Roman" w:hAnsi="Times New Roman" w:cs="Times New Roman"/>
          <w:sz w:val="26"/>
          <w:szCs w:val="20"/>
        </w:rPr>
        <w:t xml:space="preserve">- для заявителей – юридических лиц или индивидуальных предпринимателей в целях технологического присоединения по второй или третьей категории надежности электроснабжения </w:t>
      </w:r>
      <w:proofErr w:type="spellStart"/>
      <w:r w:rsidRPr="008D043C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0"/>
        </w:rPr>
        <w:t xml:space="preserve"> устройств, максимальная мощность которых </w:t>
      </w:r>
      <w:r w:rsidRPr="008D043C">
        <w:rPr>
          <w:rFonts w:ascii="Times New Roman" w:hAnsi="Times New Roman" w:cs="Times New Roman"/>
          <w:sz w:val="26"/>
          <w:szCs w:val="20"/>
        </w:rPr>
        <w:lastRenderedPageBreak/>
        <w:t>составляет до 150 к</w:t>
      </w:r>
      <w:proofErr w:type="gramStart"/>
      <w:r w:rsidRPr="008D043C">
        <w:rPr>
          <w:rFonts w:ascii="Times New Roman" w:hAnsi="Times New Roman" w:cs="Times New Roman"/>
          <w:sz w:val="26"/>
          <w:szCs w:val="20"/>
        </w:rPr>
        <w:t>Вт вкл</w:t>
      </w:r>
      <w:proofErr w:type="gramEnd"/>
      <w:r w:rsidRPr="008D043C">
        <w:rPr>
          <w:rFonts w:ascii="Times New Roman" w:hAnsi="Times New Roman" w:cs="Times New Roman"/>
          <w:sz w:val="26"/>
          <w:szCs w:val="20"/>
        </w:rPr>
        <w:t xml:space="preserve">ючительно (с учетом ранее присоединенных в данной точке присоединения </w:t>
      </w:r>
      <w:proofErr w:type="spellStart"/>
      <w:r w:rsidRPr="008D043C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0"/>
        </w:rPr>
        <w:t xml:space="preserve"> устройств);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8D043C">
        <w:rPr>
          <w:rFonts w:ascii="Times New Roman" w:hAnsi="Times New Roman" w:cs="Times New Roman"/>
          <w:sz w:val="26"/>
          <w:szCs w:val="20"/>
        </w:rPr>
        <w:t xml:space="preserve">- для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8D043C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0"/>
        </w:rPr>
        <w:t xml:space="preserve"> устройств указанных заявителей по третьей категории надежности (по одному источнику электроснабжения);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8D043C">
        <w:rPr>
          <w:rFonts w:ascii="Times New Roman" w:hAnsi="Times New Roman" w:cs="Times New Roman"/>
          <w:sz w:val="26"/>
          <w:szCs w:val="20"/>
        </w:rPr>
        <w:t>- для заявителей в целях временного технологического присоединения;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proofErr w:type="gramStart"/>
      <w:r w:rsidRPr="008D043C">
        <w:rPr>
          <w:rFonts w:ascii="Times New Roman" w:hAnsi="Times New Roman" w:cs="Times New Roman"/>
          <w:sz w:val="26"/>
          <w:szCs w:val="20"/>
        </w:rPr>
        <w:t xml:space="preserve">- для заявителей – физических лиц в целях технологического присоединения </w:t>
      </w:r>
      <w:proofErr w:type="spellStart"/>
      <w:r w:rsidRPr="008D043C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0"/>
        </w:rPr>
        <w:t xml:space="preserve"> устройств, максимальная мощность которых составляет до 15 кВт включительно (с учётом ранее присоединенных в данной точке присоединения </w:t>
      </w:r>
      <w:proofErr w:type="spellStart"/>
      <w:r w:rsidRPr="008D043C">
        <w:rPr>
          <w:rFonts w:ascii="Times New Roman" w:hAnsi="Times New Roman" w:cs="Times New Roman"/>
          <w:sz w:val="26"/>
          <w:szCs w:val="20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0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  <w:sectPr w:rsidR="008D043C" w:rsidRPr="008D043C" w:rsidSect="00C949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8D043C" w:rsidRPr="008D043C" w:rsidRDefault="008D043C" w:rsidP="008D043C">
      <w:pPr>
        <w:tabs>
          <w:tab w:val="left" w:pos="46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D043C" w:rsidRPr="008D043C" w:rsidRDefault="008D043C" w:rsidP="008D0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8D043C" w:rsidRPr="008D043C" w:rsidRDefault="008D043C" w:rsidP="008D0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8D043C" w:rsidRPr="008D043C" w:rsidRDefault="008D043C" w:rsidP="008D04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>от 27.12.2016 № 397-РК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043C" w:rsidRPr="008D043C" w:rsidRDefault="008D043C" w:rsidP="008D04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43C">
        <w:rPr>
          <w:rFonts w:ascii="Times New Roman" w:hAnsi="Times New Roman" w:cs="Times New Roman"/>
          <w:b/>
          <w:bCs/>
          <w:sz w:val="26"/>
          <w:szCs w:val="26"/>
        </w:rPr>
        <w:t>Стандартизированные тарифные ставки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43C">
        <w:rPr>
          <w:rFonts w:ascii="Times New Roman" w:hAnsi="Times New Roman" w:cs="Times New Roman"/>
          <w:b/>
          <w:bCs/>
          <w:sz w:val="26"/>
          <w:szCs w:val="26"/>
        </w:rPr>
        <w:t>для расчета платы за технологическое присоединение к электрическим сетям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43C">
        <w:rPr>
          <w:rFonts w:ascii="Times New Roman" w:hAnsi="Times New Roman" w:cs="Times New Roman"/>
          <w:b/>
          <w:bCs/>
          <w:sz w:val="26"/>
          <w:szCs w:val="26"/>
        </w:rPr>
        <w:t>территориальных сетевых организаций Калужской области &lt;1&gt;</w:t>
      </w:r>
    </w:p>
    <w:p w:rsidR="008D043C" w:rsidRPr="008D043C" w:rsidRDefault="008D043C" w:rsidP="008D043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805"/>
        <w:gridCol w:w="37"/>
        <w:gridCol w:w="1516"/>
        <w:gridCol w:w="11"/>
        <w:gridCol w:w="35"/>
        <w:gridCol w:w="1419"/>
        <w:gridCol w:w="1700"/>
        <w:gridCol w:w="142"/>
        <w:gridCol w:w="1275"/>
        <w:gridCol w:w="142"/>
        <w:gridCol w:w="1416"/>
        <w:gridCol w:w="1700"/>
      </w:tblGrid>
      <w:tr w:rsidR="008D043C" w:rsidRPr="008D043C" w:rsidTr="00E925B5">
        <w:tc>
          <w:tcPr>
            <w:tcW w:w="993" w:type="dxa"/>
            <w:vMerge w:val="restart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D043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D043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Стандартизированные тарифные ставки</w:t>
            </w:r>
          </w:p>
        </w:tc>
        <w:tc>
          <w:tcPr>
            <w:tcW w:w="11198" w:type="dxa"/>
            <w:gridSpan w:val="1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 xml:space="preserve"> Объем максимальный мощности </w:t>
            </w:r>
          </w:p>
        </w:tc>
      </w:tr>
      <w:tr w:rsidR="008D043C" w:rsidRPr="008D043C" w:rsidTr="00E925B5">
        <w:tc>
          <w:tcPr>
            <w:tcW w:w="993" w:type="dxa"/>
            <w:vMerge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3" w:type="dxa"/>
            <w:gridSpan w:val="6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 xml:space="preserve">Уровень напряжения 0,4 </w:t>
            </w:r>
            <w:proofErr w:type="spellStart"/>
            <w:r w:rsidRPr="008D043C">
              <w:rPr>
                <w:rFonts w:ascii="Times New Roman" w:eastAsia="Calibri" w:hAnsi="Times New Roman" w:cs="Times New Roman"/>
                <w:b/>
              </w:rPr>
              <w:t>кВ</w:t>
            </w:r>
            <w:proofErr w:type="spellEnd"/>
          </w:p>
        </w:tc>
        <w:tc>
          <w:tcPr>
            <w:tcW w:w="4675" w:type="dxa"/>
            <w:gridSpan w:val="5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  <w:bCs/>
              </w:rPr>
              <w:t xml:space="preserve">Уровень напряжения 6-10 </w:t>
            </w:r>
            <w:proofErr w:type="spellStart"/>
            <w:r w:rsidRPr="008D043C">
              <w:rPr>
                <w:rFonts w:ascii="Times New Roman" w:eastAsia="Calibri" w:hAnsi="Times New Roman" w:cs="Times New Roman"/>
                <w:b/>
                <w:bCs/>
              </w:rPr>
              <w:t>кВ</w:t>
            </w:r>
            <w:proofErr w:type="spellEnd"/>
          </w:p>
        </w:tc>
        <w:tc>
          <w:tcPr>
            <w:tcW w:w="1700" w:type="dxa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D043C">
              <w:rPr>
                <w:rFonts w:ascii="Times New Roman" w:eastAsia="Calibri" w:hAnsi="Times New Roman" w:cs="Times New Roman"/>
                <w:b/>
                <w:bCs/>
              </w:rPr>
              <w:t xml:space="preserve">Уровень напряжения 35 -110 </w:t>
            </w:r>
            <w:proofErr w:type="spellStart"/>
            <w:r w:rsidRPr="008D043C">
              <w:rPr>
                <w:rFonts w:ascii="Times New Roman" w:eastAsia="Calibri" w:hAnsi="Times New Roman" w:cs="Times New Roman"/>
                <w:b/>
                <w:bCs/>
              </w:rPr>
              <w:t>кВ</w:t>
            </w:r>
            <w:proofErr w:type="spellEnd"/>
          </w:p>
        </w:tc>
      </w:tr>
      <w:tr w:rsidR="008D043C" w:rsidRPr="008D043C" w:rsidTr="00E925B5">
        <w:trPr>
          <w:trHeight w:val="758"/>
        </w:trPr>
        <w:tc>
          <w:tcPr>
            <w:tcW w:w="993" w:type="dxa"/>
            <w:vMerge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до 150 кВт (включительно)</w:t>
            </w:r>
          </w:p>
        </w:tc>
        <w:tc>
          <w:tcPr>
            <w:tcW w:w="1465" w:type="dxa"/>
            <w:gridSpan w:val="3"/>
            <w:vMerge w:val="restart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более 150 кВт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до 150 кВт (включительно)</w:t>
            </w:r>
          </w:p>
          <w:p w:rsidR="008D043C" w:rsidRPr="008D043C" w:rsidRDefault="008D043C" w:rsidP="00E925B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lastRenderedPageBreak/>
              <w:t>более 150 кВт</w:t>
            </w:r>
          </w:p>
        </w:tc>
        <w:tc>
          <w:tcPr>
            <w:tcW w:w="1700" w:type="dxa"/>
            <w:vMerge w:val="restart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более 150 кВт</w:t>
            </w:r>
          </w:p>
        </w:tc>
      </w:tr>
      <w:tr w:rsidR="008D043C" w:rsidRPr="008D043C" w:rsidTr="00E925B5">
        <w:trPr>
          <w:trHeight w:val="757"/>
        </w:trPr>
        <w:tc>
          <w:tcPr>
            <w:tcW w:w="993" w:type="dxa"/>
            <w:vMerge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ind w:left="-108" w:right="-88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с 01.01.2017 г. по 30.09.2017 г.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с 01.10.2017 г. по 31.12.2017</w:t>
            </w:r>
          </w:p>
        </w:tc>
        <w:tc>
          <w:tcPr>
            <w:tcW w:w="1465" w:type="dxa"/>
            <w:gridSpan w:val="3"/>
            <w:vMerge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ind w:left="-108" w:right="-88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с 01.01.2017 г. по 30.09.2017 г.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D043C">
              <w:rPr>
                <w:rFonts w:ascii="Times New Roman" w:eastAsia="Calibri" w:hAnsi="Times New Roman" w:cs="Times New Roman"/>
                <w:b/>
              </w:rPr>
              <w:t>с 01.10.2017 г. по 31.12.2017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0" w:type="dxa"/>
            <w:vMerge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D043C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8D043C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воздушных линий электропередачи, </w:t>
            </w:r>
          </w:p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Строительство </w:t>
            </w:r>
            <w:proofErr w:type="gramStart"/>
            <w:r w:rsidRPr="008D043C">
              <w:rPr>
                <w:rFonts w:ascii="Times New Roman" w:eastAsia="Calibri" w:hAnsi="Times New Roman" w:cs="Times New Roman"/>
              </w:rPr>
              <w:t>ВЛ</w:t>
            </w:r>
            <w:proofErr w:type="gramEnd"/>
            <w:r w:rsidRPr="008D043C">
              <w:rPr>
                <w:rFonts w:ascii="Times New Roman" w:eastAsia="Calibri" w:hAnsi="Times New Roman" w:cs="Times New Roman"/>
              </w:rPr>
              <w:t xml:space="preserve"> на ж/б опорах, руб./км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8D043C" w:rsidRPr="008D043C" w:rsidTr="00E925B5">
        <w:trPr>
          <w:trHeight w:val="280"/>
        </w:trPr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16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138 549,00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277 098,00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142 819,00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285 638,00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147 349,00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294 698,00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150 126,50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300 253,00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154 007,50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308 015,00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155 670,00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311 340,00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166 001,50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332 003,00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163 012,50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326 025,00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174 411,50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348 823,00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172 670,00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345 340,00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2.1.7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179 844,00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359 688,00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181 191,50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362 383,00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3.</w:t>
            </w:r>
          </w:p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</w:t>
            </w:r>
            <w:r w:rsidRPr="008D043C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D043C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</w:t>
            </w:r>
            <w:r w:rsidRPr="008D043C">
              <w:rPr>
                <w:rFonts w:ascii="Times New Roman" w:eastAsia="Calibri" w:hAnsi="Times New Roman" w:cs="Times New Roman"/>
              </w:rPr>
              <w:lastRenderedPageBreak/>
              <w:t>электропередачи,</w:t>
            </w:r>
          </w:p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lastRenderedPageBreak/>
              <w:t>х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lastRenderedPageBreak/>
              <w:t>3.1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8D043C">
              <w:rPr>
                <w:rFonts w:ascii="Times New Roman" w:eastAsia="Calibri" w:hAnsi="Times New Roman" w:cs="Times New Roman"/>
              </w:rPr>
              <w:t>Подземная прокладка в  траншее одного кабеля с алюминиевыми жилами, руб./</w:t>
            </w:r>
            <w:proofErr w:type="gramStart"/>
            <w:r w:rsidRPr="008D043C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245 335,00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490 670,00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191 394,50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382 789,00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262 946,20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D043C">
              <w:rPr>
                <w:rFonts w:ascii="Times New Roman" w:eastAsia="Calibri" w:hAnsi="Times New Roman" w:cs="Times New Roman"/>
              </w:rPr>
              <w:t>525 892,39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200 158,50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400 317,00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282 051,09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D043C">
              <w:rPr>
                <w:rFonts w:ascii="Times New Roman" w:eastAsia="Calibri" w:hAnsi="Times New Roman" w:cs="Times New Roman"/>
              </w:rPr>
              <w:t>564 102,17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1 198 811,00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150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212 325,00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424 650,00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1 297 233,00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185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1 363 191,00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247 343,50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494 687,00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346 634,79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693 269,57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1 599 639,00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376 986,00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753 972,00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400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395 020,50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790 041,00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3.1.9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503 962,00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1007 924,00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Подземная прокладка в  траншее двух кабеля с алюминиевыми жилами,  руб./</w:t>
            </w:r>
            <w:proofErr w:type="gramStart"/>
            <w:r w:rsidRPr="008D043C">
              <w:rPr>
                <w:rFonts w:ascii="Times New Roman" w:eastAsia="Calibri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425 126,50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850 253,00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275 536,00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551 072,00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422 128,80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877 257,60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290 556,50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581 113,00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476 412,06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952 824,12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150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314 464,50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628 929,00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383 352,50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766 705,00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602 659,77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1 205 319,54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3.2.6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688 614,00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1 377 228,00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400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722 788,00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1 445 576,00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3.2.8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935 488,50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1 870 977,00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rPr>
          <w:trHeight w:val="297"/>
        </w:trPr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Подземная прокладка в  траншее с закрытыми переходами через препятствия методом горизонтального направленного бурения одного кабеля с алюминиевыми жилами,  руб./</w:t>
            </w:r>
            <w:proofErr w:type="gramStart"/>
            <w:r w:rsidRPr="008D043C">
              <w:rPr>
                <w:rFonts w:ascii="Times New Roman" w:eastAsia="Calibri" w:hAnsi="Times New Roman" w:cs="Times New Roman"/>
                <w:bCs/>
              </w:rPr>
              <w:t>км</w:t>
            </w:r>
            <w:proofErr w:type="gramEnd"/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665 104,50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1 330 209,00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284 923,00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569 846,00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518 332,56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1 036 665,12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291 062,50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582 125,00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535 650,10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1 071 300,19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150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302 759,50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605 519,00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333 706,00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667 412,00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599 375,87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1 198 751,74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795 229,00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1 590 458,00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400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813 091,00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1 626 182,00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915 176,00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1 830 352,00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Подземная прокладка в  траншее с закрытыми переходами через препятствия методом горизонтального направленного бурения двух кабелей с алюминиевыми жилами,  руб./</w:t>
            </w:r>
            <w:proofErr w:type="gramStart"/>
            <w:r w:rsidRPr="008D043C">
              <w:rPr>
                <w:rFonts w:ascii="Times New Roman" w:eastAsia="Calibri" w:hAnsi="Times New Roman" w:cs="Times New Roman"/>
                <w:bCs/>
              </w:rPr>
              <w:t>км</w:t>
            </w:r>
            <w:proofErr w:type="gramEnd"/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1 257 574,50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2 515 149,00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499 497,50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998 995,00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970 522,095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1 941 044,19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516 589,50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1 033 179,00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1 008 102,80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2 016 205,59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150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540 225,50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1 080 451,00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3.4.5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608 341,00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1 216 682,00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1 135 119,93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2 279 239,86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1 522 098,00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3 044 196,00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3.4.7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400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1 557 589,50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3 115 179,00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3.3.8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1 771 958,00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3 543 916,00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закрытых переходов методом горизонтального направленного бурения тремя трубами ПНД диаметром 110 мм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70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1 032 490,50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2 064 981,00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1 032 490,50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2 064 981,00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1 057 791,00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2 115 582,00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1 057 791,00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2 115 582,00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1 086 460,00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2 172 920,00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1 086 460,00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2 172 920,00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95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455 746,50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911 493,00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455 746,50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911 493,00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3.5.5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120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464 373,00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928 746,00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464 373,00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928 746,00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закрытых переходов методом горизонтального направленного бурения тремя трубами ПНД диаметром 160 мм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1 305 298,50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2 610 597,00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1 305 298,50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2 610 597,00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300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1 317 667,00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2 635 334,00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1 317 667,00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2 635 334,00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400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1 335 067,50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2 670 135,00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1 335 067,50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2 670 135,00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500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АПвП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</w:t>
            </w:r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1 440 159,00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2 880 318,00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1 440 159,00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2 880 318,00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3.6.5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сечение жилы 240 м</w:t>
            </w:r>
            <w:r w:rsidRPr="008D043C">
              <w:rPr>
                <w:rFonts w:ascii="Times New Roman" w:hAnsi="Times New Roman" w:cs="Times New Roman"/>
              </w:rPr>
              <w:t>м</w:t>
            </w:r>
            <w:proofErr w:type="gramStart"/>
            <w:r w:rsidRPr="008D04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4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579 524,00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1 159 048,00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579 524,00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1 159 048,00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8D043C">
              <w:rPr>
                <w:rFonts w:ascii="Times New Roman" w:eastAsia="Calibri" w:hAnsi="Times New Roman" w:cs="Times New Roman"/>
                <w:bCs/>
                <w:vertAlign w:val="subscript"/>
              </w:rPr>
              <w:t>4</w:t>
            </w:r>
            <w:proofErr w:type="gramEnd"/>
            <w:r w:rsidRPr="008D043C">
              <w:rPr>
                <w:rFonts w:ascii="Times New Roman" w:eastAsia="Calibri" w:hAnsi="Times New Roman" w:cs="Times New Roman"/>
                <w:bCs/>
              </w:rPr>
              <w:t xml:space="preserve"> – стандартизированная тарифная ставка на покрытие расходов сетевой организации  на строительство подстанций,    </w:t>
            </w: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lastRenderedPageBreak/>
              <w:t>х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4.1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комплектных трансформаторных подстанций с одним трансформатором 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КТПт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), руб./кВт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63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686,22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1 372,43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686,22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1 372,43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100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456,71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913,41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456,71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913,41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1х 160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316,40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632,80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316,40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632,80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221,23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442,45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221,23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442,45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400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165,06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330,11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165,06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330,11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630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136,82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273,63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136,82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273,63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1 000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92,57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185,13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92,57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185,13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комплектных трансформаторных подстанций с одним трансформатором 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), руб./кВт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63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863,85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1 727,69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1 727,69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100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569,29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1 138,58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569,29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1 138,58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1х 160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374,68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749,36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374,68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749,36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254,68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509,36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254,68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509,36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400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210,41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420,81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420,81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630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164,25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328,49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328,49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4.2.7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1 000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108,93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217,86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108,93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217,86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4.3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комплектных трансформаторных подстанций с двумя трансформаторами 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КТПт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), руб./кВт</w:t>
            </w:r>
          </w:p>
        </w:tc>
      </w:tr>
      <w:tr w:rsidR="008D043C" w:rsidRPr="008D043C" w:rsidTr="00E925B5">
        <w:trPr>
          <w:trHeight w:val="316"/>
        </w:trPr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4.3.1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100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521,73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1 043,46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521,73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1 043,46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2х 160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343,78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687,55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687,55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234,66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469,31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234,66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469,31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400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163,06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326,12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163,06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326,12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133,14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266,27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133,14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266,27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комплектных трансформаторных подстанций с двумя трансформаторами (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), руб./кВт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100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573,78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1 147,55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573,78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1 147,55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2х 160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376,3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752,60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752,60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255,74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511,48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255,74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511,48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400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176,24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352,47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176,24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352,47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4.4.5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142,16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284,32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142,16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284,32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мачтовых трансформаторных подстанций с одним трансформатором (МТП), руб./кВт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63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443,00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886,00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443,00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886,00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100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292,74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585,48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292,74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585,48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1х 160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203,42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406,83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203,42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406,83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1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149,09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298,18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149,09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298,18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4.6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блочных комплектных трансформаторных подстанций с двумя трансформаторами (БКТП), руб./кВт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250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335,59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671,18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335,59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671,18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lastRenderedPageBreak/>
              <w:t>4.6.2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2х 400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279,72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559,44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279,72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559,44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274,09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548,17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274,09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548,17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4.6.4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1000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216,81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433,61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216,81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433,61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4.6.5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мощностью 2 х 1600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Строительство РТП 2х1000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,</w:t>
            </w:r>
            <w:r w:rsidRPr="008D043C">
              <w:rPr>
                <w:rFonts w:ascii="Times New Roman" w:hAnsi="Times New Roman" w:cs="Times New Roman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640,30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1 280,59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640,30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1 280,59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Строительство РП (9 ячеек),</w:t>
            </w:r>
            <w:r w:rsidRPr="008D043C">
              <w:rPr>
                <w:rFonts w:ascii="Times New Roman" w:hAnsi="Times New Roman" w:cs="Times New Roman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249,5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499,00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249,5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499,00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Строительство ТП 2х1000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>,</w:t>
            </w:r>
            <w:r w:rsidRPr="008D043C">
              <w:rPr>
                <w:rFonts w:ascii="Times New Roman" w:hAnsi="Times New Roman" w:cs="Times New Roman"/>
              </w:rPr>
              <w:t xml:space="preserve"> </w:t>
            </w:r>
            <w:r w:rsidRPr="008D043C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341,06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682,12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341,06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682,12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D043C" w:rsidRPr="008D043C" w:rsidTr="00E925B5">
        <w:tc>
          <w:tcPr>
            <w:tcW w:w="993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43C">
              <w:rPr>
                <w:rFonts w:ascii="Times New Roman" w:eastAsia="Calibri" w:hAnsi="Times New Roman" w:cs="Times New Roman"/>
                <w:bCs/>
              </w:rPr>
              <w:t>4.10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3C" w:rsidRPr="008D043C" w:rsidRDefault="008D043C" w:rsidP="00E925B5">
            <w:pPr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 xml:space="preserve">строительство центров питания, подстанций уровнем напряжения       35 </w:t>
            </w:r>
            <w:proofErr w:type="spellStart"/>
            <w:r w:rsidRPr="008D043C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8D043C">
              <w:rPr>
                <w:rFonts w:ascii="Times New Roman" w:eastAsia="Calibri" w:hAnsi="Times New Roman" w:cs="Times New Roman"/>
              </w:rPr>
              <w:t xml:space="preserve"> и выше (ПС)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43C" w:rsidRPr="008D043C" w:rsidRDefault="008D043C" w:rsidP="00E925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D043C" w:rsidRPr="008D043C" w:rsidRDefault="008D043C" w:rsidP="00E92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43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D043C" w:rsidRPr="008D043C" w:rsidRDefault="008D043C" w:rsidP="008D043C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043C" w:rsidRPr="008D043C" w:rsidRDefault="008D043C" w:rsidP="008D043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043C">
        <w:rPr>
          <w:rFonts w:ascii="Times New Roman" w:hAnsi="Times New Roman" w:cs="Times New Roman"/>
          <w:bCs/>
          <w:sz w:val="26"/>
          <w:szCs w:val="26"/>
        </w:rPr>
        <w:t xml:space="preserve">           &lt;1</w:t>
      </w:r>
      <w:proofErr w:type="gramStart"/>
      <w:r w:rsidRPr="008D043C">
        <w:rPr>
          <w:rFonts w:ascii="Times New Roman" w:hAnsi="Times New Roman" w:cs="Times New Roman"/>
          <w:bCs/>
          <w:sz w:val="26"/>
          <w:szCs w:val="26"/>
        </w:rPr>
        <w:t>&gt; П</w:t>
      </w:r>
      <w:proofErr w:type="gramEnd"/>
      <w:r w:rsidRPr="008D043C">
        <w:rPr>
          <w:rFonts w:ascii="Times New Roman" w:hAnsi="Times New Roman" w:cs="Times New Roman"/>
          <w:bCs/>
          <w:sz w:val="26"/>
          <w:szCs w:val="26"/>
        </w:rPr>
        <w:t xml:space="preserve">рименяются для расчета платы за технологическое присоединение к электрическим сетям при временной и постоянной схемах электроснабжения </w:t>
      </w:r>
      <w:r w:rsidRPr="008D043C">
        <w:rPr>
          <w:rFonts w:ascii="Times New Roman" w:hAnsi="Times New Roman" w:cs="Times New Roman"/>
          <w:sz w:val="26"/>
          <w:szCs w:val="26"/>
        </w:rPr>
        <w:t xml:space="preserve">с учетом индекса изменения сметной стоимости по строительно-монтажным работам на квартал, предшествующий кварталу, в котором рассчитывается плата за технологическое присоединение, к федеральным единичным расценкам 2001 года,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</w:t>
      </w:r>
    </w:p>
    <w:p w:rsidR="008D043C" w:rsidRPr="008D043C" w:rsidRDefault="008D043C" w:rsidP="008D04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8D043C">
        <w:rPr>
          <w:rFonts w:ascii="Times New Roman" w:hAnsi="Times New Roman" w:cs="Times New Roman"/>
          <w:sz w:val="26"/>
          <w:szCs w:val="26"/>
        </w:rPr>
        <w:t>Примечание.</w:t>
      </w:r>
    </w:p>
    <w:p w:rsidR="008D043C" w:rsidRPr="008D043C" w:rsidRDefault="008D043C" w:rsidP="008D0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 xml:space="preserve">Величина стандартизированных тарифных ставок </w:t>
      </w:r>
      <w:proofErr w:type="gramStart"/>
      <w:r w:rsidRPr="008D043C">
        <w:rPr>
          <w:rFonts w:ascii="Times New Roman" w:hAnsi="Times New Roman" w:cs="Times New Roman"/>
          <w:sz w:val="26"/>
          <w:szCs w:val="26"/>
        </w:rPr>
        <w:t>для расчета платы за технологическое присоединение определена с календарной разбивкой в соответствии с пунктами</w:t>
      </w:r>
      <w:proofErr w:type="gramEnd"/>
      <w:r w:rsidRPr="008D043C">
        <w:rPr>
          <w:rFonts w:ascii="Times New Roman" w:hAnsi="Times New Roman" w:cs="Times New Roman"/>
          <w:sz w:val="26"/>
          <w:szCs w:val="26"/>
        </w:rPr>
        <w:t xml:space="preserve"> 87 Основ ценообразования в области регулируемых цен (тарифов) в </w:t>
      </w:r>
      <w:r w:rsidRPr="008D043C">
        <w:rPr>
          <w:rFonts w:ascii="Times New Roman" w:hAnsi="Times New Roman" w:cs="Times New Roman"/>
          <w:sz w:val="26"/>
          <w:szCs w:val="26"/>
        </w:rPr>
        <w:lastRenderedPageBreak/>
        <w:t>электроэнергетике, утвержденных постановлением Правительства Российской Федерации от 29.12.2011 № 1178, а именно:</w:t>
      </w:r>
    </w:p>
    <w:p w:rsidR="008D043C" w:rsidRPr="008D043C" w:rsidRDefault="008D043C" w:rsidP="008D04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43C">
        <w:rPr>
          <w:rFonts w:ascii="Times New Roman" w:hAnsi="Times New Roman" w:cs="Times New Roman"/>
          <w:bCs/>
          <w:sz w:val="26"/>
          <w:szCs w:val="26"/>
        </w:rPr>
        <w:t>- с</w:t>
      </w:r>
      <w:r w:rsidRPr="008D043C">
        <w:rPr>
          <w:rFonts w:ascii="Times New Roman" w:hAnsi="Times New Roman" w:cs="Times New Roman"/>
          <w:sz w:val="26"/>
          <w:szCs w:val="26"/>
        </w:rPr>
        <w:t xml:space="preserve"> 1 октября 2015 года размер включаемых в состав платы за технологическое присоединение </w:t>
      </w:r>
      <w:proofErr w:type="spellStart"/>
      <w:r w:rsidRPr="008D043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6"/>
        </w:rPr>
        <w:t xml:space="preserve"> устройств максимальной мощностью не более чем 150 кВт (с учетом ранее присоединенной мощности) составляет 50 процентов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8D043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электроэнергетики;</w:t>
      </w:r>
      <w:proofErr w:type="gramEnd"/>
    </w:p>
    <w:p w:rsidR="008D043C" w:rsidRPr="008D043C" w:rsidRDefault="008D043C" w:rsidP="008D04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43C">
        <w:rPr>
          <w:rFonts w:ascii="Times New Roman" w:hAnsi="Times New Roman" w:cs="Times New Roman"/>
          <w:sz w:val="26"/>
          <w:szCs w:val="26"/>
        </w:rPr>
        <w:t xml:space="preserve">   - с 1 октября 2017 года в состав платы за технологическое присоединение </w:t>
      </w:r>
      <w:proofErr w:type="spellStart"/>
      <w:r w:rsidRPr="008D043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6"/>
        </w:rPr>
        <w:t xml:space="preserve"> устройств максимальной мощностью не более 150 кВт (с учетом ранее присоединенной мощности) 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8D043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D043C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электроэнергетики.</w:t>
      </w:r>
    </w:p>
    <w:p w:rsidR="008D043C" w:rsidRPr="008D043C" w:rsidRDefault="008D043C" w:rsidP="008D04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043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подпунктом 2 пункта 7 </w:t>
      </w:r>
      <w:r w:rsidRPr="008D043C">
        <w:rPr>
          <w:rFonts w:ascii="Times New Roman" w:hAnsi="Times New Roman" w:cs="Times New Roman"/>
          <w:sz w:val="26"/>
          <w:szCs w:val="26"/>
        </w:rPr>
        <w:t>Методических указаний по определению размера платы за технологическое присоединение к электрическим сетям, утвержденных приказом Федеральной службы по тарифам от 11.09.2012 № 209-э/1, л</w:t>
      </w:r>
      <w:r w:rsidRPr="008D043C">
        <w:rPr>
          <w:rFonts w:ascii="Times New Roman" w:hAnsi="Times New Roman" w:cs="Times New Roman"/>
          <w:bCs/>
          <w:sz w:val="26"/>
          <w:szCs w:val="26"/>
        </w:rPr>
        <w:t>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присоединение. Выбор ставки платы осуществляется заявителем на стадии заключения договора об осуществлении технологического присоединения.</w:t>
      </w:r>
    </w:p>
    <w:p w:rsidR="008D043C" w:rsidRPr="008D043C" w:rsidRDefault="008D043C" w:rsidP="008D04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position w:val="-28"/>
          <w:sz w:val="26"/>
          <w:szCs w:val="26"/>
        </w:rPr>
      </w:pPr>
      <w:r w:rsidRPr="008D043C">
        <w:rPr>
          <w:rFonts w:ascii="Times New Roman" w:hAnsi="Times New Roman" w:cs="Times New Roman"/>
          <w:bCs/>
          <w:sz w:val="26"/>
          <w:szCs w:val="26"/>
        </w:rPr>
        <w:t>В случае если заявитель не выбрал вид ставки, сетевая организация вправе самостоятельно выбрать ставку и произвести расчет размера платы за технологическое присоединение.</w:t>
      </w:r>
    </w:p>
    <w:p w:rsidR="008D043C" w:rsidRPr="008D043C" w:rsidRDefault="008D043C" w:rsidP="008D043C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14FA9" w:rsidRPr="008D043C" w:rsidRDefault="00614FA9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E7DD4" w:rsidRPr="008D043C" w:rsidRDefault="00DE7DD4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E7DD4" w:rsidRPr="008D043C" w:rsidRDefault="00DE7DD4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E7DD4" w:rsidRPr="008D043C" w:rsidRDefault="00DE7DD4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_GoBack"/>
      <w:bookmarkEnd w:id="5"/>
    </w:p>
    <w:sectPr w:rsidR="00DE7DD4" w:rsidRPr="008D043C" w:rsidSect="00F75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F46"/>
    <w:rsid w:val="0007268C"/>
    <w:rsid w:val="00077A5A"/>
    <w:rsid w:val="000A6BEE"/>
    <w:rsid w:val="001214B7"/>
    <w:rsid w:val="00122FD5"/>
    <w:rsid w:val="001A2EE8"/>
    <w:rsid w:val="001A6868"/>
    <w:rsid w:val="002D3669"/>
    <w:rsid w:val="003275A3"/>
    <w:rsid w:val="00336E5D"/>
    <w:rsid w:val="00371935"/>
    <w:rsid w:val="0038553E"/>
    <w:rsid w:val="00437EC7"/>
    <w:rsid w:val="004738BD"/>
    <w:rsid w:val="004D70CF"/>
    <w:rsid w:val="00512916"/>
    <w:rsid w:val="005676BD"/>
    <w:rsid w:val="00580C5B"/>
    <w:rsid w:val="005D7140"/>
    <w:rsid w:val="005F7F1D"/>
    <w:rsid w:val="00614FA9"/>
    <w:rsid w:val="00642F46"/>
    <w:rsid w:val="00726871"/>
    <w:rsid w:val="007451BA"/>
    <w:rsid w:val="007C5348"/>
    <w:rsid w:val="0086464A"/>
    <w:rsid w:val="00887287"/>
    <w:rsid w:val="008B09DD"/>
    <w:rsid w:val="008D043C"/>
    <w:rsid w:val="008D67CA"/>
    <w:rsid w:val="009419EA"/>
    <w:rsid w:val="00952A6B"/>
    <w:rsid w:val="00955D97"/>
    <w:rsid w:val="009A1022"/>
    <w:rsid w:val="00A04601"/>
    <w:rsid w:val="00A20C47"/>
    <w:rsid w:val="00A76548"/>
    <w:rsid w:val="00AF31D8"/>
    <w:rsid w:val="00BD0C73"/>
    <w:rsid w:val="00C2541D"/>
    <w:rsid w:val="00DE7DD4"/>
    <w:rsid w:val="00E05AEE"/>
    <w:rsid w:val="00E1629A"/>
    <w:rsid w:val="00F361BC"/>
    <w:rsid w:val="00F75A1C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D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2016-03-14T06:39:00Z</cp:lastPrinted>
  <dcterms:created xsi:type="dcterms:W3CDTF">2016-03-10T12:08:00Z</dcterms:created>
  <dcterms:modified xsi:type="dcterms:W3CDTF">2018-03-05T15:30:00Z</dcterms:modified>
</cp:coreProperties>
</file>